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50B70856" w14:textId="77777777" w:rsidTr="00280D50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0A1E8A94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3EE0FF1E" w14:textId="77777777" w:rsidTr="00280D50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8C7AA67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371B28AB" w14:textId="77777777" w:rsidTr="00280D50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8A80999" w14:textId="4897CFFD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44976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15.02.10</w:t>
            </w:r>
            <w:r w:rsidR="00693786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BF2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Мехатроника и мобильная робототехника</w:t>
              </w:r>
              <w:r w:rsidR="00693786" w:rsidRPr="00FC63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(по отраслям)</w:t>
              </w:r>
            </w:hyperlink>
            <w:r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1851B68" w14:textId="77777777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0857A386" w14:textId="62AD41AF" w:rsidR="00BF2ABB" w:rsidRDefault="00BF2ABB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п</w:t>
            </w:r>
            <w:r w:rsidRPr="0036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Правительства РФ от 31.12.1999 </w:t>
            </w:r>
            <w:r w:rsidR="0025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6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1441 «Об утверждении Положения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граждан Российской Федерации к военной службе»</w:t>
            </w:r>
            <w:r w:rsidR="0025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79430B" w14:textId="0312EE96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EA6E7E8" w14:textId="5919A634" w:rsidR="00BF2ABB" w:rsidRDefault="009B06BA" w:rsidP="00FC6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2ABB" w:rsidRPr="00BF2AB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тарифно-квалификационный справочник работ и профессий рабочих (ЕТКС).</w:t>
            </w:r>
          </w:p>
          <w:p w14:paraId="701D8243" w14:textId="567D4402" w:rsidR="00E46788" w:rsidRPr="000F5A3A" w:rsidRDefault="00E46788" w:rsidP="00FC6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- Примерная основная образовательная программа.</w:t>
            </w:r>
          </w:p>
        </w:tc>
      </w:tr>
      <w:tr w:rsidR="009B06BA" w:rsidRPr="000F5A3A" w14:paraId="583DFD8E" w14:textId="77777777" w:rsidTr="00280D50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7F40A5B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07309569" w14:textId="77777777" w:rsidTr="00280D50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D3508C6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569E8C1D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1B721BDD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03A3B346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3A212A92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256AE7FA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неделю, включая все виды аудиторной и внеаудиторной (самостоятельной) учебной работы по освоению ППССЗ.</w:t>
            </w:r>
          </w:p>
          <w:p w14:paraId="1152197F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15A8CF0B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Общая продолжительность каникул составляет:</w:t>
            </w:r>
          </w:p>
          <w:p w14:paraId="081B8B6D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11 недель в учебном году, в том числе 2 недели в зимний период;</w:t>
            </w:r>
          </w:p>
          <w:p w14:paraId="23C09171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курсе 10,5 недель в учебном году, в том числе 2 недели в зимний период;</w:t>
            </w:r>
          </w:p>
          <w:p w14:paraId="2D986269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курсе 10,5 недель в учебном году, в том числе 2 недели в зимний период;</w:t>
            </w:r>
          </w:p>
          <w:p w14:paraId="4A041F20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4 курсе 2 недели в зимний период.</w:t>
            </w:r>
          </w:p>
          <w:p w14:paraId="1B2AE552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57AC3455" w14:textId="30FEAA8A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провод</w:t>
            </w:r>
            <w:r w:rsidR="0025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в организациях, направление деятельности которых соответствует профилю подготовки обучающихся.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04608DE7" w14:textId="58B3767E" w:rsidR="000F5A3A" w:rsidRPr="000F5A3A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программы подготовки специалистов среднего звена обучающиеся осваивают рабочую профессию </w:t>
            </w:r>
            <w:r w:rsidR="009A2E51" w:rsidRPr="009A2E51">
              <w:rPr>
                <w:rFonts w:ascii="Times New Roman" w:hAnsi="Times New Roman" w:cs="Times New Roman"/>
                <w:sz w:val="24"/>
                <w:szCs w:val="24"/>
              </w:rPr>
              <w:t>14977 Наладчик приборов, аппаратуры и систем автоматического контроля, регулирования и управления (наладчик КИП и автоматики)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0F5A3A" w:rsidRPr="000F5A3A" w14:paraId="6B473831" w14:textId="77777777" w:rsidTr="00280D50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6DE0A35A" w14:textId="77777777" w:rsidR="000F5A3A" w:rsidRPr="00F06BA6" w:rsidRDefault="000F5A3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5DE7951A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184FE562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4C1F9966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2 недели;</w:t>
            </w:r>
          </w:p>
          <w:p w14:paraId="734CABC1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5F65F2D0" w14:textId="70D6EC45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</w:t>
            </w:r>
            <w:r w:rsidR="00E3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часов, распределено на изучение общих, </w:t>
            </w:r>
            <w:r w:rsidR="0025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выбору из </w:t>
            </w:r>
            <w:r w:rsidR="009B06BA" w:rsidRPr="00F0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областей и </w:t>
            </w:r>
            <w:r w:rsidR="0025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элективных курсов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общеобразовательного цикла ППССЗ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6520FE63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обучающимися индивидуального(</w:t>
            </w:r>
            <w:proofErr w:type="spellStart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проекта(</w:t>
            </w:r>
            <w:proofErr w:type="spellStart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3DCBFA3A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554B49E0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445E092A" w14:textId="26B4D3BB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ОУ</w:t>
            </w:r>
            <w:r w:rsidR="0025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 Русский язык, ОУ</w:t>
            </w:r>
            <w:r w:rsidR="0025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25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Математика, ОУ</w:t>
            </w:r>
            <w:r w:rsidR="0025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25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Физика. По </w:t>
            </w:r>
            <w:r w:rsidR="002549BE"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ОУ</w:t>
            </w:r>
            <w:r w:rsidR="0025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549BE"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 Русский язык</w:t>
            </w:r>
            <w:r w:rsidR="0025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2549BE"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ОУ</w:t>
            </w:r>
            <w:r w:rsidR="0025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549BE"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25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549BE"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 письменной форме, по профильн</w:t>
            </w:r>
            <w:r w:rsidR="0025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5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предмету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49BE"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ОУ</w:t>
            </w:r>
            <w:r w:rsidR="0025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549BE"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25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549BE"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в устной. </w:t>
            </w:r>
          </w:p>
          <w:p w14:paraId="1B8F80A7" w14:textId="7C4C15AF" w:rsidR="000F5A3A" w:rsidRPr="000F5A3A" w:rsidRDefault="005256F9" w:rsidP="0025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0F5A3A"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</w:t>
            </w:r>
          </w:p>
        </w:tc>
      </w:tr>
      <w:tr w:rsidR="009B06BA" w:rsidRPr="000F5A3A" w14:paraId="0E22C3C5" w14:textId="77777777" w:rsidTr="00280D50">
        <w:trPr>
          <w:trHeight w:val="25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643B27A" w14:textId="77777777" w:rsidR="009B06BA" w:rsidRPr="000F5A3A" w:rsidRDefault="009B06B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6BA" w:rsidRPr="000F5A3A" w14:paraId="07DA1B61" w14:textId="77777777" w:rsidTr="00280D50">
        <w:trPr>
          <w:trHeight w:val="2117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66BD210D" w14:textId="77777777" w:rsidR="009B06BA" w:rsidRPr="00F06BA6" w:rsidRDefault="009B06BA" w:rsidP="00CB3120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F5A3A">
              <w:rPr>
                <w:b/>
                <w:bCs/>
              </w:rPr>
              <w:t>1.3. Формирование вариативной части ООП</w:t>
            </w:r>
          </w:p>
          <w:p w14:paraId="00A9CA51" w14:textId="77777777" w:rsidR="009B06BA" w:rsidRPr="005A44D7" w:rsidRDefault="009B06BA" w:rsidP="00CB3120">
            <w:pPr>
              <w:pStyle w:val="a3"/>
              <w:spacing w:before="0" w:beforeAutospacing="0" w:after="0" w:afterAutospacing="0"/>
              <w:jc w:val="both"/>
            </w:pPr>
            <w:r w:rsidRPr="00F06BA6">
              <w:t xml:space="preserve">         </w:t>
            </w:r>
            <w:r w:rsidRPr="005A44D7">
              <w:t xml:space="preserve">Вариативная часть </w:t>
            </w:r>
            <w:r w:rsidRPr="005A44D7">
              <w:rPr>
                <w:bCs/>
              </w:rPr>
              <w:t xml:space="preserve">в </w:t>
            </w:r>
            <w:r w:rsidRPr="005A44D7">
              <w:t xml:space="preserve">объеме </w:t>
            </w:r>
            <w:r w:rsidR="008E1F3B" w:rsidRPr="005A44D7">
              <w:t>1296</w:t>
            </w:r>
            <w:r w:rsidRPr="005A44D7">
              <w:t xml:space="preserve"> часов использована:</w:t>
            </w:r>
          </w:p>
          <w:p w14:paraId="0CC329B2" w14:textId="77777777" w:rsidR="009B06BA" w:rsidRPr="005A44D7" w:rsidRDefault="009B06BA" w:rsidP="00CB3120">
            <w:pPr>
              <w:pStyle w:val="a3"/>
              <w:spacing w:before="0" w:beforeAutospacing="0" w:after="0" w:afterAutospacing="0"/>
              <w:jc w:val="both"/>
            </w:pPr>
            <w:r w:rsidRPr="005A44D7">
              <w:t xml:space="preserve">         - на увеличение объема времени, отведенного на дисциплины и профессиональные модули обязательной части; </w:t>
            </w:r>
          </w:p>
          <w:p w14:paraId="362341D8" w14:textId="77777777" w:rsidR="009B06BA" w:rsidRPr="005A44D7" w:rsidRDefault="009B06BA" w:rsidP="00CB3120">
            <w:pPr>
              <w:pStyle w:val="a3"/>
              <w:spacing w:before="0" w:beforeAutospacing="0" w:after="0" w:afterAutospacing="0"/>
              <w:jc w:val="both"/>
            </w:pPr>
            <w:r w:rsidRPr="005A44D7">
              <w:t xml:space="preserve">         - на введение новых дисциплин, направленных на удовлетворение потребностей регионального рынка труда и по согласованию с работодателями; </w:t>
            </w:r>
          </w:p>
          <w:p w14:paraId="01A1D8F2" w14:textId="77777777" w:rsidR="009B06BA" w:rsidRPr="005A44D7" w:rsidRDefault="009B06BA" w:rsidP="00CB3120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5A44D7">
              <w:t xml:space="preserve">Распределение вариативной части ППССЗ по циклам представлено в таблице: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0"/>
              <w:gridCol w:w="1257"/>
              <w:gridCol w:w="1080"/>
              <w:gridCol w:w="2957"/>
              <w:gridCol w:w="2366"/>
            </w:tblGrid>
            <w:tr w:rsidR="009B06BA" w:rsidRPr="00FC634F" w14:paraId="79EB267E" w14:textId="77777777" w:rsidTr="00F22A60">
              <w:trPr>
                <w:jc w:val="center"/>
              </w:trPr>
              <w:tc>
                <w:tcPr>
                  <w:tcW w:w="31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0C7310" w14:textId="77777777" w:rsidR="009B06BA" w:rsidRPr="00470BC9" w:rsidRDefault="009B06BA" w:rsidP="009A2E5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Индексы циклов и обязательная учебная нагрузка по циклам по ФГОС, часов</w:t>
                  </w:r>
                </w:p>
              </w:tc>
              <w:tc>
                <w:tcPr>
                  <w:tcW w:w="64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A6FAAA" w14:textId="77777777" w:rsidR="009B06BA" w:rsidRPr="00470BC9" w:rsidRDefault="009B06BA" w:rsidP="009A2E5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Распределение вариативной части (ВЧ) по циклам, часов</w:t>
                  </w:r>
                </w:p>
              </w:tc>
            </w:tr>
            <w:tr w:rsidR="009B06BA" w:rsidRPr="00FC634F" w14:paraId="49257BD1" w14:textId="77777777" w:rsidTr="00F22A60">
              <w:trPr>
                <w:trHeight w:val="508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30AEB4" w14:textId="77777777" w:rsidR="009B06BA" w:rsidRPr="00470BC9" w:rsidRDefault="009B06BA" w:rsidP="009A2E51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AFDD7" w14:textId="77777777" w:rsidR="009B06BA" w:rsidRPr="00470BC9" w:rsidRDefault="009B06BA" w:rsidP="009A2E5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Всего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D901C3" w14:textId="77777777" w:rsidR="009B06BA" w:rsidRPr="00470BC9" w:rsidRDefault="009B06BA" w:rsidP="009A2E5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В том числе</w:t>
                  </w:r>
                </w:p>
              </w:tc>
            </w:tr>
            <w:tr w:rsidR="009B06BA" w:rsidRPr="00FC634F" w14:paraId="7A0277EE" w14:textId="77777777" w:rsidTr="00F22A60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0BE2EF" w14:textId="77777777" w:rsidR="009B06BA" w:rsidRPr="00470BC9" w:rsidRDefault="009B06BA" w:rsidP="009A2E51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0DB4C7" w14:textId="77777777" w:rsidR="009B06BA" w:rsidRPr="00470BC9" w:rsidRDefault="009B06BA" w:rsidP="009A2E51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DD1AD9" w14:textId="77777777" w:rsidR="009B06BA" w:rsidRPr="00470BC9" w:rsidRDefault="009B06BA" w:rsidP="009A2E5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На увеличение объема обязательных дисциплин (МДК)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5BC788" w14:textId="77777777" w:rsidR="009B06BA" w:rsidRPr="00470BC9" w:rsidRDefault="009B06BA" w:rsidP="009A2E5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На вв</w:t>
                  </w:r>
                  <w:r w:rsidR="005F1101" w:rsidRPr="00470BC9">
                    <w:t>едение дополнительных дисциплин</w:t>
                  </w:r>
                </w:p>
              </w:tc>
            </w:tr>
            <w:tr w:rsidR="009B06BA" w:rsidRPr="00FC634F" w14:paraId="4805CE44" w14:textId="77777777" w:rsidTr="00F22A60">
              <w:trPr>
                <w:trHeight w:val="450"/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BFE942" w14:textId="77777777" w:rsidR="009B06BA" w:rsidRPr="00470BC9" w:rsidRDefault="009B06BA" w:rsidP="009A2E5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ОГСЭ.00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64764D" w14:textId="77777777" w:rsidR="009B06BA" w:rsidRPr="00470BC9" w:rsidRDefault="008E1F3B" w:rsidP="009A2E5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468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B1BF9" w14:textId="753B3352" w:rsidR="009B06BA" w:rsidRPr="00216841" w:rsidRDefault="00BF2ABB" w:rsidP="009A2E5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216841">
                    <w:t>60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0CFB8C" w14:textId="21C117F9" w:rsidR="009B06BA" w:rsidRPr="00470BC9" w:rsidRDefault="00BF2ABB" w:rsidP="009A2E5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60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1AE666" w14:textId="77777777" w:rsidR="009B06BA" w:rsidRPr="00470BC9" w:rsidRDefault="005A44D7" w:rsidP="009A2E5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-</w:t>
                  </w:r>
                </w:p>
              </w:tc>
            </w:tr>
            <w:tr w:rsidR="009B06BA" w:rsidRPr="00FC634F" w14:paraId="2EDA9B28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C6E02B" w14:textId="77777777" w:rsidR="009B06BA" w:rsidRPr="00470BC9" w:rsidRDefault="009B06BA" w:rsidP="009A2E5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ЕН.00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92A6D0" w14:textId="77777777" w:rsidR="009B06BA" w:rsidRPr="00470BC9" w:rsidRDefault="008E1F3B" w:rsidP="009A2E5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16678F" w14:textId="7E49B566" w:rsidR="009B06BA" w:rsidRPr="00216841" w:rsidRDefault="00BF2ABB" w:rsidP="009A2E5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216841">
                    <w:t>0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FA54D" w14:textId="42DBECEF" w:rsidR="009B06BA" w:rsidRPr="00470BC9" w:rsidRDefault="00BF2ABB" w:rsidP="009A2E5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C55855" w14:textId="77777777" w:rsidR="009B06BA" w:rsidRPr="00470BC9" w:rsidRDefault="00FB7AEC" w:rsidP="009A2E5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-</w:t>
                  </w:r>
                </w:p>
              </w:tc>
            </w:tr>
            <w:tr w:rsidR="009B06BA" w:rsidRPr="00FC634F" w14:paraId="309354C3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7F2520" w14:textId="77777777" w:rsidR="009B06BA" w:rsidRPr="00470BC9" w:rsidRDefault="009B06BA" w:rsidP="009A2E5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ОП.00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BFFD11" w14:textId="77777777" w:rsidR="009B06BA" w:rsidRPr="00470BC9" w:rsidRDefault="008E1F3B" w:rsidP="009A2E5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612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5C30BE" w14:textId="22469E70" w:rsidR="009B06BA" w:rsidRPr="00216841" w:rsidRDefault="00216841" w:rsidP="009A2E5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216841">
                    <w:t>5</w:t>
                  </w:r>
                  <w:r w:rsidR="009E1156">
                    <w:t>34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C6D260" w14:textId="3C7E1A10" w:rsidR="009B06BA" w:rsidRPr="00470BC9" w:rsidRDefault="00BF2ABB" w:rsidP="009A2E5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4</w:t>
                  </w:r>
                  <w:r w:rsidR="009E1156">
                    <w:t>34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816F2F" w14:textId="32E13706" w:rsidR="009B06BA" w:rsidRPr="00470BC9" w:rsidRDefault="00BF2ABB" w:rsidP="009A2E5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100</w:t>
                  </w:r>
                </w:p>
              </w:tc>
            </w:tr>
            <w:tr w:rsidR="009B06BA" w:rsidRPr="00FC634F" w14:paraId="26689991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278BE4" w14:textId="77777777" w:rsidR="009B06BA" w:rsidRPr="00470BC9" w:rsidRDefault="009B06BA" w:rsidP="009A2E5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П</w:t>
                  </w:r>
                  <w:r w:rsidR="00CB3120" w:rsidRPr="00470BC9">
                    <w:t>Ц</w:t>
                  </w:r>
                  <w:r w:rsidRPr="00470BC9">
                    <w:t>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2E7581" w14:textId="77777777" w:rsidR="009B06BA" w:rsidRPr="00470BC9" w:rsidRDefault="008E1F3B" w:rsidP="009A2E5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1728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5EC13C" w14:textId="4881DACB" w:rsidR="009B06BA" w:rsidRPr="00216841" w:rsidRDefault="00216841" w:rsidP="009A2E5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216841">
                    <w:t>70</w:t>
                  </w:r>
                  <w:r w:rsidR="009E1156">
                    <w:t>2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27FFCC" w14:textId="7E67B561" w:rsidR="009B06BA" w:rsidRPr="00470BC9" w:rsidRDefault="009E1156" w:rsidP="009A2E5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454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8D2F9E" w14:textId="329D4F79" w:rsidR="009B06BA" w:rsidRPr="00470BC9" w:rsidRDefault="00BF2ABB" w:rsidP="009A2E5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248</w:t>
                  </w:r>
                </w:p>
              </w:tc>
            </w:tr>
            <w:tr w:rsidR="009B06BA" w:rsidRPr="00FC634F" w14:paraId="5351E6E3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D80900" w14:textId="77777777" w:rsidR="009B06BA" w:rsidRPr="00470BC9" w:rsidRDefault="005446B1" w:rsidP="009A2E5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Вариативная часть (ВЧ)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DDF6C1" w14:textId="77777777" w:rsidR="009B06BA" w:rsidRPr="00470BC9" w:rsidRDefault="008E1F3B" w:rsidP="009A2E5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1296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5014F8" w14:textId="77777777" w:rsidR="009B06BA" w:rsidRPr="00470BC9" w:rsidRDefault="00470BC9" w:rsidP="009A2E5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1296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41332D" w14:textId="4336314E" w:rsidR="009B06BA" w:rsidRPr="00470BC9" w:rsidRDefault="00BF2ABB" w:rsidP="009A2E5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948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553153" w14:textId="2DE81C75" w:rsidR="009B06BA" w:rsidRPr="00470BC9" w:rsidRDefault="00BF2ABB" w:rsidP="009A2E5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348</w:t>
                  </w:r>
                </w:p>
              </w:tc>
            </w:tr>
          </w:tbl>
          <w:p w14:paraId="081372FA" w14:textId="77777777" w:rsidR="009B06BA" w:rsidRPr="00FC634F" w:rsidRDefault="009B06BA" w:rsidP="00CB3120">
            <w:pPr>
              <w:pStyle w:val="a3"/>
              <w:spacing w:before="0" w:beforeAutospacing="0" w:after="0" w:afterAutospacing="0"/>
              <w:ind w:firstLine="720"/>
              <w:jc w:val="both"/>
              <w:rPr>
                <w:highlight w:val="yellow"/>
                <w:u w:val="single"/>
              </w:rPr>
            </w:pPr>
          </w:p>
          <w:p w14:paraId="6D2E927F" w14:textId="77777777" w:rsidR="009B06BA" w:rsidRPr="0048508A" w:rsidRDefault="009B06BA" w:rsidP="00CB3120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  <w:r w:rsidRPr="0048508A">
              <w:rPr>
                <w:u w:val="single"/>
              </w:rPr>
              <w:t>Пояснения к таблице:</w:t>
            </w:r>
          </w:p>
          <w:p w14:paraId="2EB6FC63" w14:textId="51EB2AE7" w:rsidR="00CB3120" w:rsidRPr="0048508A" w:rsidRDefault="00470BC9" w:rsidP="00470BC9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48508A">
              <w:t xml:space="preserve">1. </w:t>
            </w:r>
            <w:r w:rsidR="009B06BA" w:rsidRPr="0048508A">
              <w:t>В общепрофессиональные дисциплины профессионального цикла включен</w:t>
            </w:r>
            <w:r w:rsidR="00BF2ABB">
              <w:t>а</w:t>
            </w:r>
            <w:r w:rsidR="009B06BA" w:rsidRPr="0048508A">
              <w:t xml:space="preserve"> нов</w:t>
            </w:r>
            <w:r w:rsidR="00BF2ABB">
              <w:t>ая</w:t>
            </w:r>
            <w:r w:rsidR="009B06BA" w:rsidRPr="0048508A">
              <w:t xml:space="preserve"> дисциплин</w:t>
            </w:r>
            <w:r w:rsidR="00BF2ABB">
              <w:t>а</w:t>
            </w:r>
            <w:r w:rsidR="009B06BA" w:rsidRPr="0048508A">
              <w:t>:</w:t>
            </w:r>
          </w:p>
          <w:p w14:paraId="0DFE97AC" w14:textId="510188F5" w:rsidR="00470BC9" w:rsidRPr="0048508A" w:rsidRDefault="00470BC9" w:rsidP="00470BC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</w:t>
            </w:r>
            <w:r w:rsidR="0050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Бережливое производство (100 ч, направлены на усиление компетенций ОК 1</w:t>
            </w:r>
            <w:r w:rsidR="0048508A"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-9, </w:t>
            </w:r>
            <w:r w:rsidR="0021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BF2ABB" w:rsidRPr="00CF0E76">
              <w:rPr>
                <w:rFonts w:ascii="Times New Roman" w:hAnsi="Times New Roman"/>
                <w:sz w:val="24"/>
                <w:szCs w:val="24"/>
              </w:rPr>
              <w:t xml:space="preserve"> ПК 1.4., ПК 2.1., ПК 2.3.</w:t>
            </w:r>
            <w:r w:rsidR="0048508A"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B0D6A03" w14:textId="77777777" w:rsidR="00CB3120" w:rsidRPr="00470BC9" w:rsidRDefault="00470BC9" w:rsidP="00CB31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3120"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профессиональный цикл включена новая дисциплина:</w:t>
            </w:r>
          </w:p>
          <w:p w14:paraId="4CA8EEB3" w14:textId="0C6314A9" w:rsidR="00CB3120" w:rsidRPr="00CB3120" w:rsidRDefault="00CB3120" w:rsidP="003A3596">
            <w:pPr>
              <w:spacing w:after="0"/>
              <w:ind w:firstLine="709"/>
              <w:jc w:val="both"/>
            </w:pP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</w:t>
            </w:r>
            <w:r w:rsidRPr="00470BC9">
              <w:t xml:space="preserve"> </w:t>
            </w:r>
            <w:r w:rsidR="00C704A2" w:rsidRPr="00C7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70BC9"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7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70BC9"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0BC9" w:rsidRPr="00470BC9">
              <w:t xml:space="preserve"> </w:t>
            </w:r>
            <w:r w:rsidR="00470BC9"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профессии </w:t>
            </w:r>
            <w:r w:rsidR="003A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2ABB" w:rsidRPr="00BF2ABB">
              <w:rPr>
                <w:rFonts w:ascii="Times New Roman" w:hAnsi="Times New Roman" w:cs="Times New Roman"/>
                <w:sz w:val="24"/>
                <w:szCs w:val="24"/>
              </w:rPr>
              <w:t>18494 Слесарь по контрольно-измерительным приборам и автоматике</w:t>
            </w:r>
            <w:r w:rsidR="003A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ч, направлены на усиление компетенций ОК 1</w:t>
            </w:r>
            <w:r w:rsidR="00926446"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</w:t>
            </w:r>
            <w:r w:rsidR="0021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7-10,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</w:t>
            </w:r>
            <w:r w:rsidR="00B2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926446"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0F5A3A" w:rsidRPr="000F5A3A" w14:paraId="51F8761D" w14:textId="77777777" w:rsidTr="00280D50">
        <w:trPr>
          <w:trHeight w:val="206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5558FD40" w14:textId="77777777" w:rsidR="000F5A3A" w:rsidRPr="000F5A3A" w:rsidRDefault="000F5A3A" w:rsidP="00CB3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515DF70A" w14:textId="77777777" w:rsidTr="00280D50">
        <w:trPr>
          <w:trHeight w:val="42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43D805A9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1.4. Формы проведения консультаций </w:t>
            </w:r>
          </w:p>
        </w:tc>
      </w:tr>
      <w:tr w:rsidR="000F5A3A" w:rsidRPr="000F5A3A" w14:paraId="1DAFC07B" w14:textId="77777777" w:rsidTr="00280D50">
        <w:trPr>
          <w:trHeight w:val="78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1CDB21E3" w14:textId="77777777" w:rsidR="000F5A3A" w:rsidRPr="000F5A3A" w:rsidRDefault="000F5A3A" w:rsidP="0069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Консультации предусматриваются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прохождения промежуточной аттестации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Консультации могут быть устные и (или) письменные, групповые, индивидуальные.</w:t>
            </w:r>
          </w:p>
        </w:tc>
      </w:tr>
      <w:tr w:rsidR="000F5A3A" w:rsidRPr="000F5A3A" w14:paraId="688A3E42" w14:textId="77777777" w:rsidTr="00280D50">
        <w:trPr>
          <w:trHeight w:val="313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7A77FF4E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3633EA1B" w14:textId="77777777" w:rsidTr="00280D50">
        <w:trPr>
          <w:trHeight w:val="2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1A834B9C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Порядок аттестации обучающихся</w:t>
            </w:r>
          </w:p>
          <w:p w14:paraId="39F86D26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0A801D9B" w14:textId="467E0CCF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15.02.10</w:t>
            </w:r>
            <w:r w:rsidR="00BF2ABB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BF2A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Мехатроника и мобильная робототехника</w:t>
              </w:r>
              <w:r w:rsidR="00BF2ABB" w:rsidRPr="00FC63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(по отраслям)</w:t>
              </w:r>
            </w:hyperlink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науки Российской Федерации </w:t>
            </w:r>
            <w:r w:rsidR="003F4F5D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09.12.2016</w:t>
            </w:r>
            <w:r w:rsidR="003F4F5D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  <w:r w:rsidR="003F4F5D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44976</w:t>
            </w:r>
            <w:r w:rsidR="003F4F5D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F4F5D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F4F5D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4F5D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Итогом проверки является однозначное решение: «вид профессиональной деятельности освоен / не освоен» с оценкой.</w:t>
            </w:r>
          </w:p>
          <w:p w14:paraId="6FFC6BC4" w14:textId="57CB9FED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Квалификационный экзамен </w:t>
            </w:r>
            <w:r w:rsidR="0094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проводится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ПМ.0</w:t>
            </w:r>
            <w:r w:rsidR="0021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6841">
              <w:t xml:space="preserve"> </w:t>
            </w:r>
            <w:r w:rsidR="00216841" w:rsidRPr="0021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одной или нескольких профессий рабочих, должностей служащих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6 семестре и включает в себя практическую квалификационную работу и проверку теоретических знаний в пределах квалификационных требований, указанных в 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 </w:t>
            </w:r>
            <w:r w:rsidR="009A2E51" w:rsidRPr="009A2E51">
              <w:rPr>
                <w:rFonts w:ascii="Times New Roman" w:hAnsi="Times New Roman" w:cs="Times New Roman"/>
                <w:sz w:val="24"/>
                <w:szCs w:val="24"/>
              </w:rPr>
              <w:t>14977 Наладчик приборов, аппаратуры и систем автоматического контроля, регулирования и управления (наладчик КИП и автоматики)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проведению квалификационного экзамена привлекаются представители работодателей, их объединений.</w:t>
            </w:r>
          </w:p>
          <w:p w14:paraId="41BF41B4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614867D6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      </w:r>
          </w:p>
          <w:p w14:paraId="27836E0B" w14:textId="3FFFED33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Промежуточная аттестация проводится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рассредоточено.</w:t>
            </w:r>
          </w:p>
          <w:p w14:paraId="78217289" w14:textId="77777777" w:rsidR="000F5A3A" w:rsidRPr="000F5A3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0F5A3A" w:rsidRPr="000F5A3A" w14:paraId="692DAF99" w14:textId="77777777" w:rsidTr="00280D50">
        <w:trPr>
          <w:trHeight w:val="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00A8DCDD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5487D3E7" w14:textId="77777777" w:rsidTr="00280D50">
        <w:trPr>
          <w:trHeight w:val="3504"/>
        </w:trPr>
        <w:tc>
          <w:tcPr>
            <w:tcW w:w="10314" w:type="dxa"/>
            <w:shd w:val="clear" w:color="auto" w:fill="auto"/>
            <w:vAlign w:val="bottom"/>
            <w:hideMark/>
          </w:tcPr>
          <w:p w14:paraId="18B66BF5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.6. Формы проведения промежуточной аттестации </w:t>
            </w:r>
          </w:p>
          <w:p w14:paraId="2958601C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3E6BDE4D" w14:textId="221B2B53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дисциплинам </w:t>
            </w:r>
            <w:r w:rsidR="00ED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общепрофессионального и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цикл</w:t>
            </w:r>
            <w:r w:rsidR="00ED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21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циклов ОГСЭ и ЕН –ДЗ (дифференцированный зачет), Э (экзамен); </w:t>
            </w:r>
          </w:p>
          <w:p w14:paraId="4B3BF86E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дисциплине «Физическая культура» (в цикле ОГСЭ) в каждом семестре – З (зачет), а в последнем семестре – ДЗ (дифференцированный зачет); </w:t>
            </w:r>
          </w:p>
          <w:p w14:paraId="56B6603D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12038634" w14:textId="77777777" w:rsidR="000F5A3A" w:rsidRDefault="000F5A3A" w:rsidP="002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</w:t>
            </w:r>
            <w:r w:rsidR="00C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4B3DA0" w14:textId="38D57713" w:rsidR="0077104A" w:rsidRPr="00C621CD" w:rsidRDefault="0077104A" w:rsidP="002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нескольким практикам проводятся дифференцированные зачеты комплексные: УП.01 и ПП.01.</w:t>
            </w:r>
          </w:p>
        </w:tc>
      </w:tr>
      <w:tr w:rsidR="000F5A3A" w:rsidRPr="000F5A3A" w14:paraId="1AEAD9BA" w14:textId="77777777" w:rsidTr="00280D50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79D92845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1747BAD6" w14:textId="77777777" w:rsidTr="00280D50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3EAF7562" w14:textId="77777777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1.7. Формы проведения государственной итоговой аттестации </w:t>
            </w:r>
          </w:p>
          <w:p w14:paraId="6C370F02" w14:textId="647FA4CA" w:rsidR="000F5A3A" w:rsidRPr="000F5A3A" w:rsidRDefault="00C779E2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Формы и порядок проведения государственной итоговой аттестации определяются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государственным образовательным стандартом среднего профессионального образования по специальности 15.02.10</w:t>
            </w:r>
            <w:r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Мехатроника и мобильная робототехника</w:t>
              </w:r>
              <w:r w:rsidRPr="00FC63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(по отраслям)</w:t>
              </w:r>
            </w:hyperlink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науки Российской Федерации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44976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приказом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образования и науки Российской Федерации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16 августа 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программой государственной итоговой аттестации.</w:t>
            </w:r>
          </w:p>
        </w:tc>
      </w:tr>
      <w:tr w:rsidR="000F5A3A" w:rsidRPr="000F5A3A" w14:paraId="23BDB40C" w14:textId="77777777" w:rsidTr="00280D50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35D76801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77F0FA0C" w14:textId="77777777" w:rsidTr="00280D50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3FB1075A" w14:textId="77777777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1.8. Другое </w:t>
            </w:r>
          </w:p>
          <w:p w14:paraId="0573DD1E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6F12C327" w14:textId="77777777" w:rsidR="003F4F5D" w:rsidRDefault="000F5A3A" w:rsidP="00C621CD">
            <w:pPr>
              <w:pStyle w:val="a3"/>
              <w:spacing w:before="0" w:beforeAutospacing="0" w:after="0" w:afterAutospacing="0"/>
              <w:jc w:val="both"/>
            </w:pPr>
            <w:r w:rsidRPr="000F5A3A">
              <w:t xml:space="preserve">         </w:t>
            </w:r>
            <w:r w:rsidR="00C621CD" w:rsidRPr="00FD465B">
              <w:t xml:space="preserve">По учебному плану </w:t>
            </w:r>
            <w:r w:rsidR="00C621CD">
              <w:t>ООП</w:t>
            </w:r>
            <w:r w:rsidR="00C621CD" w:rsidRPr="00FD465B">
              <w:t xml:space="preserve"> предусматривается в</w:t>
            </w:r>
            <w:r w:rsidR="00FC634F">
              <w:t>ыполнение 2-х курсовых проектов</w:t>
            </w:r>
            <w:r w:rsidR="003F4F5D">
              <w:t>:</w:t>
            </w:r>
          </w:p>
          <w:p w14:paraId="48F67E12" w14:textId="0BE2B501" w:rsidR="00C621CD" w:rsidRDefault="003F4F5D" w:rsidP="00C621CD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="00FC634F">
              <w:t xml:space="preserve"> по ПМ.01 </w:t>
            </w:r>
            <w:r w:rsidRPr="003F4F5D">
              <w:t xml:space="preserve">Монтаж, программирование и пуско-наладка мехатронных систем </w:t>
            </w:r>
            <w:r w:rsidR="00FC634F">
              <w:t>(</w:t>
            </w:r>
            <w:r>
              <w:t>3</w:t>
            </w:r>
            <w:r w:rsidR="00FC634F">
              <w:t>0 час.)</w:t>
            </w:r>
            <w:r>
              <w:t>;</w:t>
            </w:r>
          </w:p>
          <w:p w14:paraId="1346A029" w14:textId="3E4E6D39" w:rsidR="003F4F5D" w:rsidRPr="00FD465B" w:rsidRDefault="003F4F5D" w:rsidP="00C621CD">
            <w:pPr>
              <w:pStyle w:val="a3"/>
              <w:spacing w:before="0" w:beforeAutospacing="0" w:after="0" w:afterAutospacing="0"/>
              <w:jc w:val="both"/>
            </w:pPr>
            <w:r>
              <w:t xml:space="preserve">- по ПМ.03 </w:t>
            </w:r>
            <w:r w:rsidRPr="003F4F5D">
              <w:t>Разработка, моделирование и оптимизация работы мехатронных систем</w:t>
            </w:r>
            <w:r>
              <w:t xml:space="preserve"> (40 час.).</w:t>
            </w:r>
          </w:p>
          <w:p w14:paraId="7A3BEBC6" w14:textId="72D98C5C" w:rsidR="00DB019E" w:rsidRDefault="000F5A3A" w:rsidP="00DB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B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«Физическая культура» предусматривает еженедельно 2 часа обязательных аудиторных занятий. </w:t>
            </w:r>
          </w:p>
          <w:p w14:paraId="67D0F15B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</w:t>
            </w:r>
          </w:p>
          <w:p w14:paraId="55C81596" w14:textId="4B7961DA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период обучения с юношами проводятся учебные сборы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изучения основ воинской службы.</w:t>
            </w:r>
          </w:p>
        </w:tc>
      </w:tr>
    </w:tbl>
    <w:p w14:paraId="72B5A767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0489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320B6"/>
    <w:rsid w:val="00052987"/>
    <w:rsid w:val="000F586C"/>
    <w:rsid w:val="000F5A3A"/>
    <w:rsid w:val="001E1F53"/>
    <w:rsid w:val="001E40A6"/>
    <w:rsid w:val="001F2257"/>
    <w:rsid w:val="00204503"/>
    <w:rsid w:val="00212F59"/>
    <w:rsid w:val="00216841"/>
    <w:rsid w:val="002223E1"/>
    <w:rsid w:val="002549BE"/>
    <w:rsid w:val="00280D50"/>
    <w:rsid w:val="00337673"/>
    <w:rsid w:val="0036217D"/>
    <w:rsid w:val="003A3596"/>
    <w:rsid w:val="003F4F5D"/>
    <w:rsid w:val="00421475"/>
    <w:rsid w:val="00470BC9"/>
    <w:rsid w:val="0048508A"/>
    <w:rsid w:val="004D7EA6"/>
    <w:rsid w:val="005000D9"/>
    <w:rsid w:val="005256F9"/>
    <w:rsid w:val="005446B1"/>
    <w:rsid w:val="005A44D7"/>
    <w:rsid w:val="005D15F8"/>
    <w:rsid w:val="005D4326"/>
    <w:rsid w:val="005F1101"/>
    <w:rsid w:val="00613D10"/>
    <w:rsid w:val="00693786"/>
    <w:rsid w:val="00735CC5"/>
    <w:rsid w:val="0077104A"/>
    <w:rsid w:val="00794D91"/>
    <w:rsid w:val="007A5168"/>
    <w:rsid w:val="007D771A"/>
    <w:rsid w:val="008E1F3B"/>
    <w:rsid w:val="008F0F4D"/>
    <w:rsid w:val="00926446"/>
    <w:rsid w:val="00935264"/>
    <w:rsid w:val="00945DFE"/>
    <w:rsid w:val="009466E8"/>
    <w:rsid w:val="00984597"/>
    <w:rsid w:val="009A2E51"/>
    <w:rsid w:val="009B06BA"/>
    <w:rsid w:val="009C68EA"/>
    <w:rsid w:val="009D64AD"/>
    <w:rsid w:val="009E1156"/>
    <w:rsid w:val="00AE15F2"/>
    <w:rsid w:val="00B27F80"/>
    <w:rsid w:val="00B60A45"/>
    <w:rsid w:val="00B670DE"/>
    <w:rsid w:val="00BC1596"/>
    <w:rsid w:val="00BF0241"/>
    <w:rsid w:val="00BF2ABB"/>
    <w:rsid w:val="00C2102D"/>
    <w:rsid w:val="00C621CD"/>
    <w:rsid w:val="00C704A2"/>
    <w:rsid w:val="00C779E2"/>
    <w:rsid w:val="00CB3120"/>
    <w:rsid w:val="00CC7388"/>
    <w:rsid w:val="00CD60F2"/>
    <w:rsid w:val="00CE5587"/>
    <w:rsid w:val="00D2172D"/>
    <w:rsid w:val="00D85E08"/>
    <w:rsid w:val="00DA01B2"/>
    <w:rsid w:val="00DB019E"/>
    <w:rsid w:val="00DE2FBB"/>
    <w:rsid w:val="00E33FDA"/>
    <w:rsid w:val="00E46788"/>
    <w:rsid w:val="00EA6FF4"/>
    <w:rsid w:val="00ED6CEF"/>
    <w:rsid w:val="00F06BA6"/>
    <w:rsid w:val="00F45C03"/>
    <w:rsid w:val="00FB7AEC"/>
    <w:rsid w:val="00FC084C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0AFA"/>
  <w15:docId w15:val="{4E895E61-6C4F-4939-A1EE-155BBBEA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5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Turbo</cp:lastModifiedBy>
  <cp:revision>59</cp:revision>
  <cp:lastPrinted>2019-10-11T11:55:00Z</cp:lastPrinted>
  <dcterms:created xsi:type="dcterms:W3CDTF">2019-04-01T05:56:00Z</dcterms:created>
  <dcterms:modified xsi:type="dcterms:W3CDTF">2023-07-14T13:28:00Z</dcterms:modified>
</cp:coreProperties>
</file>